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6FE2A">
      <w:pPr>
        <w:pStyle w:val="5"/>
        <w:shd w:val="clear"/>
        <w:jc w:val="center"/>
        <w:outlineLvl w:val="0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第八章 拟签订采购合同文本</w:t>
      </w:r>
    </w:p>
    <w:p w14:paraId="7C76DFEC">
      <w:pPr>
        <w:shd w:val="clear"/>
        <w:rPr>
          <w:rFonts w:hint="eastAsia" w:ascii="宋体" w:hAnsi="宋体" w:eastAsia="宋体" w:cs="宋体"/>
          <w:color w:val="auto"/>
          <w:sz w:val="44"/>
          <w:szCs w:val="44"/>
          <w:highlight w:val="none"/>
        </w:rPr>
      </w:pPr>
    </w:p>
    <w:p w14:paraId="68FDB86C">
      <w:pPr>
        <w:shd w:val="clear"/>
        <w:rPr>
          <w:rFonts w:hint="eastAsia" w:ascii="宋体" w:hAnsi="宋体" w:eastAsia="宋体" w:cs="宋体"/>
          <w:color w:val="auto"/>
          <w:sz w:val="44"/>
          <w:szCs w:val="44"/>
          <w:highlight w:val="none"/>
        </w:rPr>
      </w:pPr>
    </w:p>
    <w:p w14:paraId="75343765">
      <w:pPr>
        <w:shd w:val="clear"/>
        <w:rPr>
          <w:rFonts w:hint="eastAsia" w:ascii="宋体" w:hAnsi="宋体" w:eastAsia="宋体" w:cs="宋体"/>
          <w:color w:val="auto"/>
          <w:sz w:val="44"/>
          <w:szCs w:val="44"/>
          <w:highlight w:val="none"/>
        </w:rPr>
      </w:pPr>
    </w:p>
    <w:p w14:paraId="43015571">
      <w:pPr>
        <w:shd w:val="clear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</w:pPr>
      <w:bookmarkStart w:id="0" w:name="OLE_LINK1"/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  <w:t>西安高新区</w:t>
      </w:r>
      <w:r>
        <w:rPr>
          <w:rFonts w:hint="eastAsia" w:hAnsi="宋体" w:cs="宋体"/>
          <w:b/>
          <w:bCs/>
          <w:color w:val="auto"/>
          <w:sz w:val="44"/>
          <w:szCs w:val="44"/>
          <w:highlight w:val="none"/>
          <w:lang w:val="en-US" w:eastAsia="zh-CN"/>
        </w:rPr>
        <w:t>GX3-7-2号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  <w:t>宗地土地整理项目</w:t>
      </w:r>
    </w:p>
    <w:p w14:paraId="01C642B3">
      <w:pPr>
        <w:shd w:val="clear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施工合同</w:t>
      </w:r>
    </w:p>
    <w:p w14:paraId="4ABADC8E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6EFC08CC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1CB468FE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36D21AB6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3C79E90C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6416C58A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6B71386F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5ABDEFAE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4524059B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4CB9D1D1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07AF790E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2FC9579F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046428F2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503B87D0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1E145DEC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1178B06D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67E91FB7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31DB7928">
      <w:pPr>
        <w:shd w:val="clear"/>
        <w:ind w:firstLine="1600" w:firstLineChars="500"/>
        <w:jc w:val="left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甲方：西安高新技术产业开发区土地储备中心</w:t>
      </w:r>
    </w:p>
    <w:p w14:paraId="436236F2">
      <w:pPr>
        <w:shd w:val="clear"/>
        <w:ind w:firstLine="1600" w:firstLineChars="500"/>
        <w:jc w:val="left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乙方：</w:t>
      </w:r>
    </w:p>
    <w:p w14:paraId="7FD2BCDE">
      <w:pPr>
        <w:shd w:val="clear"/>
        <w:jc w:val="center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43B8BD94">
      <w:pPr>
        <w:shd w:val="clear"/>
        <w:jc w:val="center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年   月   日</w:t>
      </w:r>
    </w:p>
    <w:p w14:paraId="2D900E40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31AF5918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3D1BCF89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0B86F4CF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18A26B09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4C07AEE3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478F12C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甲方（全称）：西安高新技术产业开发区土地储备中心　　</w:t>
      </w:r>
    </w:p>
    <w:p w14:paraId="050921C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 xml:space="preserve">乙方（全称）：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</w:t>
      </w:r>
    </w:p>
    <w:p w14:paraId="7A22A36A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根据《中华人民共和国民法典》及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相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关法律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，遵循平等、自愿、公平和诚实信用的原则，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双方就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西安高新区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GX3-7-2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号宗地土地整理项目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有关事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宜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协商一致，达成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本合同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</w:p>
    <w:p w14:paraId="5D0242D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一、工程概况</w:t>
      </w:r>
    </w:p>
    <w:p w14:paraId="5E2BDFD3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1.工程名称：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西安高新区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GX3-7-2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号宗地土地整理项目</w:t>
      </w:r>
    </w:p>
    <w:p w14:paraId="622F82F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2.工程地点：</w:t>
      </w:r>
    </w:p>
    <w:p w14:paraId="4B63E0C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工程内容：</w:t>
      </w:r>
    </w:p>
    <w:p w14:paraId="29C8DB7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4.工程期限：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工期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暂定60个自然日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具体开工日期以甲方通知进场日期为准。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如遇特殊请况需延长工期，双方协商确定。</w:t>
      </w:r>
    </w:p>
    <w:p w14:paraId="65667BB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、质量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要求</w:t>
      </w:r>
    </w:p>
    <w:p w14:paraId="746A72D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该工程工期暂定为60个自然日。</w:t>
      </w:r>
    </w:p>
    <w:p w14:paraId="72A8D63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严格执行《安全生产法》、《建设工程安全生产管理条例》、《西安市扬尘污染防治条例》、《西安市房屋拆迁管理办法》、《西安市建筑垃圾管理办法》、《西安高新区治污减霾网格化管理工作实施方案》等要求。</w:t>
      </w:r>
    </w:p>
    <w:p w14:paraId="593377A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拆除清运标准为从硬化地面开始下挖大于等于0.6米直见黄土，并完成场地平整。</w:t>
      </w:r>
    </w:p>
    <w:p w14:paraId="788374A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配合文勘工作开展土方开挖及内倒工程，开挖深度暂定为1.5米，最终以文勘工作实际需要据实结算土方内倒工作量。</w:t>
      </w:r>
    </w:p>
    <w:p w14:paraId="012940A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围墙采用水泥预制材料，高度2.2米，单面双色涂料粉刷。</w:t>
      </w:r>
    </w:p>
    <w:p w14:paraId="2CD1798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拆除地上建筑物、构筑物及附属物，以及破除室内地坪、硬化道路产生的全部建筑垃圾，严格按照城市管理部门指定的运输路线和倾倒场地清运，不得冒尖装载、不得沿路抛洒。</w:t>
      </w:r>
    </w:p>
    <w:p w14:paraId="2F41CAB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竣工验收</w:t>
      </w:r>
    </w:p>
    <w:p w14:paraId="3A2A5AE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按照招标文件及本合同相关内容，乙方完工后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向甲方提供完整竣工资料，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或甲方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委托的监理公司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进行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验收。</w:t>
      </w:r>
    </w:p>
    <w:p w14:paraId="1A6042D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、合同价款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及支付方式</w:t>
      </w:r>
    </w:p>
    <w:p w14:paraId="2ACF030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（一）合同价款</w:t>
      </w:r>
    </w:p>
    <w:p w14:paraId="114F36D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本工程实行固定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价承包，签约合同价为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元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（大写：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元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最终工程量以财政评审结算报告为准。</w:t>
      </w:r>
    </w:p>
    <w:p w14:paraId="52AC61AA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spacing w:line="50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工程量清单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642"/>
        <w:gridCol w:w="707"/>
        <w:gridCol w:w="1417"/>
        <w:gridCol w:w="1401"/>
        <w:gridCol w:w="1715"/>
        <w:gridCol w:w="2431"/>
      </w:tblGrid>
      <w:tr w14:paraId="7E2AF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24" w:type="pct"/>
            <w:noWrap w:val="0"/>
            <w:vAlign w:val="center"/>
          </w:tcPr>
          <w:p w14:paraId="3423DAAA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824" w:type="pct"/>
            <w:noWrap w:val="0"/>
            <w:vAlign w:val="center"/>
          </w:tcPr>
          <w:p w14:paraId="6D4F0394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项目清单</w:t>
            </w:r>
          </w:p>
        </w:tc>
        <w:tc>
          <w:tcPr>
            <w:tcW w:w="355" w:type="pct"/>
            <w:noWrap w:val="0"/>
            <w:vAlign w:val="center"/>
          </w:tcPr>
          <w:p w14:paraId="2F36E00B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单位</w:t>
            </w:r>
          </w:p>
        </w:tc>
        <w:tc>
          <w:tcPr>
            <w:tcW w:w="711" w:type="pct"/>
            <w:noWrap w:val="0"/>
            <w:vAlign w:val="center"/>
          </w:tcPr>
          <w:p w14:paraId="38304ACC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工程量</w:t>
            </w:r>
          </w:p>
        </w:tc>
        <w:tc>
          <w:tcPr>
            <w:tcW w:w="703" w:type="pct"/>
            <w:noWrap w:val="0"/>
            <w:vAlign w:val="center"/>
          </w:tcPr>
          <w:p w14:paraId="403A937C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单价(元)</w:t>
            </w:r>
          </w:p>
        </w:tc>
        <w:tc>
          <w:tcPr>
            <w:tcW w:w="861" w:type="pct"/>
            <w:noWrap w:val="0"/>
            <w:vAlign w:val="center"/>
          </w:tcPr>
          <w:p w14:paraId="0E74D670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单项总价 (元)</w:t>
            </w:r>
          </w:p>
        </w:tc>
        <w:tc>
          <w:tcPr>
            <w:tcW w:w="1218" w:type="pct"/>
            <w:noWrap w:val="0"/>
            <w:vAlign w:val="center"/>
          </w:tcPr>
          <w:p w14:paraId="5D94B412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备注</w:t>
            </w:r>
          </w:p>
        </w:tc>
      </w:tr>
      <w:tr w14:paraId="5EB79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24" w:type="pct"/>
            <w:noWrap w:val="0"/>
            <w:vAlign w:val="center"/>
          </w:tcPr>
          <w:p w14:paraId="130D28C9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24" w:type="pct"/>
            <w:noWrap w:val="0"/>
            <w:vAlign w:val="center"/>
          </w:tcPr>
          <w:p w14:paraId="31E8422D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55" w:type="pct"/>
            <w:noWrap w:val="0"/>
            <w:vAlign w:val="center"/>
          </w:tcPr>
          <w:p w14:paraId="61893C8B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1" w:type="pct"/>
            <w:noWrap w:val="0"/>
            <w:vAlign w:val="center"/>
          </w:tcPr>
          <w:p w14:paraId="1ABFCED7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03" w:type="pct"/>
            <w:noWrap w:val="0"/>
            <w:vAlign w:val="center"/>
          </w:tcPr>
          <w:p w14:paraId="77F8818D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61" w:type="pct"/>
            <w:noWrap w:val="0"/>
            <w:vAlign w:val="center"/>
          </w:tcPr>
          <w:p w14:paraId="19163ABB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8" w:type="pct"/>
            <w:noWrap w:val="0"/>
            <w:vAlign w:val="center"/>
          </w:tcPr>
          <w:p w14:paraId="76DEE491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08A9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24" w:type="pct"/>
            <w:noWrap w:val="0"/>
            <w:vAlign w:val="center"/>
          </w:tcPr>
          <w:p w14:paraId="03805CB3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824" w:type="pct"/>
            <w:noWrap w:val="0"/>
            <w:vAlign w:val="center"/>
          </w:tcPr>
          <w:p w14:paraId="5627500D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55" w:type="pct"/>
            <w:noWrap w:val="0"/>
            <w:vAlign w:val="center"/>
          </w:tcPr>
          <w:p w14:paraId="0240C7E2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1" w:type="pct"/>
            <w:noWrap w:val="0"/>
            <w:vAlign w:val="center"/>
          </w:tcPr>
          <w:p w14:paraId="325AB242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03" w:type="pct"/>
            <w:noWrap w:val="0"/>
            <w:vAlign w:val="center"/>
          </w:tcPr>
          <w:p w14:paraId="2FB5183A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61" w:type="pct"/>
            <w:noWrap w:val="0"/>
            <w:vAlign w:val="center"/>
          </w:tcPr>
          <w:p w14:paraId="7E28BCE9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8" w:type="pct"/>
            <w:noWrap w:val="0"/>
            <w:vAlign w:val="center"/>
          </w:tcPr>
          <w:p w14:paraId="2B0D69B5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</w:tr>
      <w:tr w14:paraId="58014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24" w:type="pct"/>
            <w:noWrap w:val="0"/>
            <w:vAlign w:val="center"/>
          </w:tcPr>
          <w:p w14:paraId="67322833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824" w:type="pct"/>
            <w:noWrap w:val="0"/>
            <w:vAlign w:val="center"/>
          </w:tcPr>
          <w:p w14:paraId="59B8DE9B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55" w:type="pct"/>
            <w:noWrap w:val="0"/>
            <w:vAlign w:val="center"/>
          </w:tcPr>
          <w:p w14:paraId="413C949A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1" w:type="pct"/>
            <w:noWrap w:val="0"/>
            <w:vAlign w:val="center"/>
          </w:tcPr>
          <w:p w14:paraId="209214C6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03" w:type="pct"/>
            <w:noWrap w:val="0"/>
            <w:vAlign w:val="center"/>
          </w:tcPr>
          <w:p w14:paraId="57667C18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61" w:type="pct"/>
            <w:noWrap w:val="0"/>
            <w:vAlign w:val="center"/>
          </w:tcPr>
          <w:p w14:paraId="0FEDF75E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8" w:type="pct"/>
            <w:noWrap w:val="0"/>
            <w:vAlign w:val="center"/>
          </w:tcPr>
          <w:p w14:paraId="431E3C44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590D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324" w:type="pct"/>
            <w:noWrap w:val="0"/>
            <w:vAlign w:val="center"/>
          </w:tcPr>
          <w:p w14:paraId="6DC66236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824" w:type="pct"/>
            <w:noWrap w:val="0"/>
            <w:vAlign w:val="center"/>
          </w:tcPr>
          <w:p w14:paraId="3683AC35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55" w:type="pct"/>
            <w:noWrap w:val="0"/>
            <w:vAlign w:val="center"/>
          </w:tcPr>
          <w:p w14:paraId="57F5EEF9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1" w:type="pct"/>
            <w:noWrap w:val="0"/>
            <w:vAlign w:val="center"/>
          </w:tcPr>
          <w:p w14:paraId="4FF58B9B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03" w:type="pct"/>
            <w:noWrap w:val="0"/>
            <w:vAlign w:val="center"/>
          </w:tcPr>
          <w:p w14:paraId="311B04BD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61" w:type="pct"/>
            <w:noWrap w:val="0"/>
            <w:vAlign w:val="center"/>
          </w:tcPr>
          <w:p w14:paraId="66B9C561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8" w:type="pct"/>
            <w:noWrap w:val="0"/>
            <w:vAlign w:val="center"/>
          </w:tcPr>
          <w:p w14:paraId="5E2BE69C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</w:tr>
      <w:tr w14:paraId="02594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324" w:type="pct"/>
            <w:noWrap w:val="0"/>
            <w:vAlign w:val="center"/>
          </w:tcPr>
          <w:p w14:paraId="42E6329D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824" w:type="pct"/>
            <w:noWrap w:val="0"/>
            <w:vAlign w:val="center"/>
          </w:tcPr>
          <w:p w14:paraId="4E7FD2A5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55" w:type="pct"/>
            <w:noWrap w:val="0"/>
            <w:vAlign w:val="center"/>
          </w:tcPr>
          <w:p w14:paraId="6ADC4DA3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1" w:type="pct"/>
            <w:noWrap w:val="0"/>
            <w:vAlign w:val="center"/>
          </w:tcPr>
          <w:p w14:paraId="31E6B28C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03" w:type="pct"/>
            <w:noWrap w:val="0"/>
            <w:vAlign w:val="center"/>
          </w:tcPr>
          <w:p w14:paraId="223FC27B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61" w:type="pct"/>
            <w:noWrap w:val="0"/>
            <w:vAlign w:val="center"/>
          </w:tcPr>
          <w:p w14:paraId="26AAB830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18" w:type="pct"/>
            <w:noWrap w:val="0"/>
            <w:vAlign w:val="center"/>
          </w:tcPr>
          <w:p w14:paraId="3BC5120A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7A072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24" w:type="pct"/>
            <w:noWrap w:val="0"/>
            <w:vAlign w:val="center"/>
          </w:tcPr>
          <w:p w14:paraId="08221159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24" w:type="pct"/>
            <w:noWrap w:val="0"/>
            <w:vAlign w:val="center"/>
          </w:tcPr>
          <w:p w14:paraId="420D44AC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合计</w:t>
            </w:r>
          </w:p>
        </w:tc>
        <w:tc>
          <w:tcPr>
            <w:tcW w:w="355" w:type="pct"/>
            <w:noWrap w:val="0"/>
            <w:vAlign w:val="center"/>
          </w:tcPr>
          <w:p w14:paraId="28C25EE6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元</w:t>
            </w:r>
          </w:p>
        </w:tc>
        <w:tc>
          <w:tcPr>
            <w:tcW w:w="3495" w:type="pct"/>
            <w:gridSpan w:val="4"/>
            <w:noWrap w:val="0"/>
            <w:vAlign w:val="center"/>
          </w:tcPr>
          <w:p w14:paraId="55C1DB50"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02B6F838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、垃圾运距暂定为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公里，具体以施工时城管执法局批准倾倒点实测为准。若因运距增加等原因造成的清运单价增加或总价增加，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以本合同中双方约定的完全综合单价为限，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超出部分甲方不予承担。</w:t>
      </w:r>
    </w:p>
    <w:p w14:paraId="77CDA13C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、上述费用包含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不限于甲方应支付乙方的所有费用，包含相关税费、治污减霾费等。</w:t>
      </w:r>
    </w:p>
    <w:p w14:paraId="47EE7A7A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支付方式：</w:t>
      </w:r>
    </w:p>
    <w:p w14:paraId="769A4F0B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7" w:leftChars="7" w:firstLine="399" w:firstLineChars="19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合同签订后，乙方进场施工30日内，甲方向乙方支付合同总价的30%；</w:t>
      </w:r>
    </w:p>
    <w:p w14:paraId="0249F99F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7" w:leftChars="7" w:firstLine="399" w:firstLineChars="19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工程完工后，经甲方或甲方指派的监理单位验收合格及财政部门完成结算评审后，30日内支付剩余款项。</w:t>
      </w:r>
    </w:p>
    <w:p w14:paraId="0303A1E7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7" w:leftChars="7" w:firstLine="399" w:firstLineChars="19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每次付款前，乙方应向甲方提交含税正式发票，否则甲方有权拒绝付款。乙方不得因甲方资金暂时不到位而影响工期。</w:t>
      </w:r>
    </w:p>
    <w:p w14:paraId="3C995528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乙方收款账户信息如下：</w:t>
      </w:r>
    </w:p>
    <w:p w14:paraId="02666997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spacing w:line="500" w:lineRule="exact"/>
        <w:ind w:firstLine="840" w:firstLineChars="4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用户名：</w:t>
      </w:r>
    </w:p>
    <w:p w14:paraId="49CDC706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spacing w:line="500" w:lineRule="exact"/>
        <w:ind w:firstLine="840" w:firstLineChars="4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账号：</w:t>
      </w:r>
    </w:p>
    <w:p w14:paraId="5812C54F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spacing w:line="500" w:lineRule="exact"/>
        <w:ind w:firstLine="840" w:firstLineChars="4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开户行：</w:t>
      </w:r>
    </w:p>
    <w:p w14:paraId="4916D4C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2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、甲乙双方的权利与义务</w:t>
      </w:r>
    </w:p>
    <w:p w14:paraId="4FBBFE8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（一）甲方权利和义务：</w:t>
      </w:r>
    </w:p>
    <w:p w14:paraId="7C4C665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1.甲方按期向乙方移交施工场地，向乙方提供工程标准，提供必要的技术指导，但不因此免除乙方施工质量责任。</w:t>
      </w:r>
    </w:p>
    <w:p w14:paraId="4A52E33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2.甲方有权随时检查、监督现场及工程进度、质量和安全问题，并对不符合合同约定的情况进行监督、整改。</w:t>
      </w:r>
    </w:p>
    <w:p w14:paraId="5C1A7FA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按照合同约定的期限和方式支付合同价款。</w:t>
      </w:r>
    </w:p>
    <w:p w14:paraId="50785BD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（二）乙方权利与义务</w:t>
      </w:r>
    </w:p>
    <w:p w14:paraId="66BF0B20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按照本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约定内容，按期完工，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确保工程质量和安全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45C1AAF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2.乙方负责施工现场人员及财产安全，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施工中出现的任何安全事故，由乙方自行处理和承担，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甲方不承担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任何责任。</w:t>
      </w:r>
    </w:p>
    <w:p w14:paraId="11775CC6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spacing w:line="500" w:lineRule="exact"/>
        <w:ind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3.乙方向甲方移交场地前，负责现场看护工作。</w:t>
      </w:r>
    </w:p>
    <w:p w14:paraId="02D2849D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 xml:space="preserve">4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.乙方不得将工程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进行转包及违法分包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，一经发现，甲方有权立即解除合同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0AC450B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接受甲方及监理单位和各级主管部门的监督和管理。</w:t>
      </w:r>
    </w:p>
    <w:p w14:paraId="277DEBB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不得出现拖欠农民工工资现象，如因此发生工人到甲方及各级政府机关采取堵门、堵路等方式索要工资的情况，甲方有权从工程款中扣除相应工程款，用来解决农民工工资问题。</w:t>
      </w:r>
    </w:p>
    <w:p w14:paraId="2839401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按有关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要求做好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安全生产、文明施工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1F27629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、违约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争议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解决</w:t>
      </w:r>
    </w:p>
    <w:p w14:paraId="1A65CD6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（一）违约</w:t>
      </w:r>
    </w:p>
    <w:p w14:paraId="481BA8C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1.甲方违约：甲方不按合同约定支付工程款，导致施工无法进行；不履行合同义务或不按合同约定履行义务的其他情况。甲方承担违约责任，赔偿因其违约给乙方造成的经济损失，顺延延误的工期。</w:t>
      </w:r>
    </w:p>
    <w:p w14:paraId="7C0B947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2.乙方违约：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除本合同第六条约定的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乙方权利和义务不履行构成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违约责任外，乙方施工过程中未达到本合同第三条质量要求中拆除清运质量、治污减霾等标准的，出现一次，甲方予以书面警告；出现第二次，甲方从工程款中扣除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1万元作为乙方违约金，超过三次时，甲方有权解除合同。</w:t>
      </w:r>
    </w:p>
    <w:p w14:paraId="08CE317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（二）争议解决</w:t>
      </w:r>
    </w:p>
    <w:p w14:paraId="4B7CF78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甲乙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方在履行合同时发生争议，可以协商和解或者要求有关主管部门调解。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方不愿和解、调解或者和解不成的，任何一方均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甲方所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在地人民法院起诉。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</w:p>
    <w:p w14:paraId="2C1D79C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合同争议处理期间，除正在处理的争议部分外，合同其余部分应继续执行，</w:t>
      </w:r>
    </w:p>
    <w:p w14:paraId="3089C5D9"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七、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补充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合同</w:t>
      </w:r>
    </w:p>
    <w:p w14:paraId="06CEB82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本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合同未尽事宜，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甲乙双方可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另行签订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补充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合同，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补充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合同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本合同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具有同等法律效力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2146F6A3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合同生效</w:t>
      </w:r>
    </w:p>
    <w:p w14:paraId="7BBB9B2E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本合同自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甲乙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双方签字盖章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之日起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生效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本合同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一式陆份，甲方执叁份，乙方执叁份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均具有同等法律效力。</w:t>
      </w:r>
    </w:p>
    <w:p w14:paraId="57FF99F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F430A9B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9BE95A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甲方：  (公章)                             乙方：  (公章)</w:t>
      </w:r>
    </w:p>
    <w:p w14:paraId="0066D2B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           </w:t>
      </w:r>
    </w:p>
    <w:p w14:paraId="27010C8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法定代表人：                           法定代表人：  </w:t>
      </w:r>
    </w:p>
    <w:p w14:paraId="1661402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BCE4C0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委托代理人：                               委托代理人：</w:t>
      </w:r>
    </w:p>
    <w:p w14:paraId="7D7AB57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</w:p>
    <w:p w14:paraId="16DB1D9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时间：                                     时间：          </w:t>
      </w:r>
    </w:p>
    <w:bookmarkEnd w:id="0"/>
    <w:p w14:paraId="1C34B323">
      <w:bookmarkStart w:id="1" w:name="_GoBack"/>
      <w:bookmarkEnd w:id="1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188828"/>
    <w:multiLevelType w:val="singleLevel"/>
    <w:tmpl w:val="CD188828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2C4859"/>
    <w:rsid w:val="7B2C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2026-08-10T08:11:00Z</dcterms:created>
  <dc:creator>ZBB</dc:creator>
  <cp:lastModifiedBy>ZBB</cp:lastModifiedBy>
  <dcterms:modified xsi:type="dcterms:W3CDTF">2026-08-10T08:11:38Z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9C49AB17F37A423BAECFB42302E82B37_11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